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3A9B" w14:textId="77777777" w:rsidR="00FB0E88" w:rsidRPr="00D307CE" w:rsidRDefault="00FB0E88" w:rsidP="00D307CE">
      <w:pPr>
        <w:spacing w:before="240"/>
        <w:rPr>
          <w:rFonts w:ascii="Arial" w:eastAsiaTheme="majorEastAsia" w:hAnsi="Arial" w:cstheme="majorBidi"/>
          <w:bCs/>
          <w:caps/>
          <w:color w:val="002060"/>
          <w:sz w:val="20"/>
          <w:szCs w:val="20"/>
        </w:rPr>
      </w:pPr>
      <w:bookmarkStart w:id="0" w:name="_Toc465779673"/>
      <w:r w:rsidRPr="00D307CE">
        <w:rPr>
          <w:rFonts w:ascii="Arial" w:eastAsiaTheme="majorEastAsia" w:hAnsi="Arial" w:cstheme="majorBidi"/>
          <w:bCs/>
          <w:caps/>
          <w:color w:val="002060"/>
          <w:sz w:val="20"/>
          <w:szCs w:val="20"/>
        </w:rPr>
        <w:t>POSITION DESCRIPTION</w:t>
      </w:r>
      <w:bookmarkEnd w:id="0"/>
    </w:p>
    <w:p w14:paraId="408842B2" w14:textId="6B426478" w:rsidR="00FB0E88" w:rsidRPr="00D307CE" w:rsidRDefault="00C266B2" w:rsidP="00FB0E8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2060"/>
          <w:sz w:val="26"/>
          <w:szCs w:val="24"/>
        </w:rPr>
      </w:pPr>
      <w:bookmarkStart w:id="1" w:name="_Under_secretary_of_4"/>
      <w:bookmarkStart w:id="2" w:name="_Toc465846354"/>
      <w:bookmarkEnd w:id="1"/>
      <w:r w:rsidRPr="00D307CE">
        <w:rPr>
          <w:rFonts w:ascii="Arial" w:eastAsiaTheme="majorEastAsia" w:hAnsi="Arial" w:cstheme="majorBidi"/>
          <w:b/>
          <w:bCs/>
          <w:caps/>
          <w:color w:val="002060"/>
          <w:sz w:val="26"/>
          <w:szCs w:val="24"/>
        </w:rPr>
        <w:t xml:space="preserve">Air force </w:t>
      </w:r>
      <w:r w:rsidR="00FB0E88" w:rsidRPr="00D307CE">
        <w:rPr>
          <w:rFonts w:ascii="Arial" w:eastAsiaTheme="majorEastAsia" w:hAnsi="Arial" w:cstheme="majorBidi"/>
          <w:b/>
          <w:bCs/>
          <w:caps/>
          <w:color w:val="002060"/>
          <w:sz w:val="26"/>
          <w:szCs w:val="24"/>
        </w:rPr>
        <w:t xml:space="preserve">ASSISTANT secretary </w:t>
      </w:r>
      <w:bookmarkEnd w:id="2"/>
      <w:r w:rsidR="00FB0E88" w:rsidRPr="00D307CE">
        <w:rPr>
          <w:rFonts w:ascii="Arial" w:eastAsiaTheme="majorEastAsia" w:hAnsi="Arial" w:cstheme="majorBidi"/>
          <w:b/>
          <w:bCs/>
          <w:caps/>
          <w:color w:val="002060"/>
          <w:sz w:val="26"/>
          <w:szCs w:val="24"/>
        </w:rPr>
        <w:t>(Acquisition, technology, logistics), department of defense</w:t>
      </w:r>
    </w:p>
    <w:p w14:paraId="46738034" w14:textId="77777777" w:rsidR="00FB0E88" w:rsidRPr="004A1B75" w:rsidRDefault="00FB0E88" w:rsidP="00FB0E88">
      <w:pPr>
        <w:rPr>
          <w:rFonts w:asciiTheme="majorHAnsi" w:hAnsiTheme="majorHAnsi"/>
          <w:sz w:val="20"/>
          <w:szCs w:val="20"/>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520"/>
        <w:gridCol w:w="7110"/>
      </w:tblGrid>
      <w:tr w:rsidR="00FB0E88" w:rsidRPr="00C266B2" w14:paraId="18890799" w14:textId="77777777" w:rsidTr="002349E1">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80A270D" w14:textId="77777777" w:rsidR="00FB0E88" w:rsidRPr="00C266B2" w:rsidRDefault="00FB0E88" w:rsidP="00E64386">
            <w:pPr>
              <w:contextualSpacing/>
              <w:jc w:val="center"/>
              <w:rPr>
                <w:rFonts w:asciiTheme="majorHAnsi" w:hAnsiTheme="majorHAnsi" w:cstheme="majorHAnsi"/>
                <w:b/>
              </w:rPr>
            </w:pPr>
            <w:r w:rsidRPr="00C266B2">
              <w:rPr>
                <w:rFonts w:asciiTheme="majorHAnsi" w:hAnsiTheme="majorHAnsi" w:cstheme="majorHAnsi"/>
                <w:b/>
              </w:rPr>
              <w:t>OVERVIEW</w:t>
            </w:r>
          </w:p>
        </w:tc>
      </w:tr>
      <w:tr w:rsidR="00FB0E88" w:rsidRPr="00C266B2" w14:paraId="5FBD9CCE"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BF5454F"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Senate Committee</w:t>
            </w:r>
          </w:p>
        </w:tc>
        <w:tc>
          <w:tcPr>
            <w:tcW w:w="7110" w:type="dxa"/>
            <w:tcBorders>
              <w:top w:val="single" w:sz="2" w:space="0" w:color="auto"/>
              <w:left w:val="single" w:sz="2" w:space="0" w:color="auto"/>
              <w:bottom w:val="single" w:sz="2" w:space="0" w:color="auto"/>
              <w:right w:val="single" w:sz="2" w:space="0" w:color="auto"/>
            </w:tcBorders>
          </w:tcPr>
          <w:p w14:paraId="6B70C189" w14:textId="77777777" w:rsidR="00FB0E88" w:rsidRPr="00C266B2" w:rsidRDefault="00FB0E88" w:rsidP="00E64386">
            <w:pPr>
              <w:contextualSpacing/>
              <w:rPr>
                <w:rFonts w:asciiTheme="majorHAnsi" w:hAnsiTheme="majorHAnsi" w:cstheme="majorHAnsi"/>
                <w:bCs/>
              </w:rPr>
            </w:pPr>
            <w:r w:rsidRPr="00C266B2">
              <w:rPr>
                <w:rFonts w:asciiTheme="majorHAnsi" w:hAnsiTheme="majorHAnsi" w:cstheme="majorHAnsi"/>
                <w:bCs/>
              </w:rPr>
              <w:t>Armed Services</w:t>
            </w:r>
          </w:p>
        </w:tc>
      </w:tr>
      <w:tr w:rsidR="00FB0E88" w:rsidRPr="00C266B2" w14:paraId="780DAA24"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356461"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Agency Mission</w:t>
            </w:r>
          </w:p>
        </w:tc>
        <w:tc>
          <w:tcPr>
            <w:tcW w:w="7110" w:type="dxa"/>
            <w:tcBorders>
              <w:top w:val="single" w:sz="2" w:space="0" w:color="auto"/>
              <w:left w:val="single" w:sz="2" w:space="0" w:color="auto"/>
              <w:bottom w:val="single" w:sz="2" w:space="0" w:color="auto"/>
              <w:right w:val="single" w:sz="2" w:space="0" w:color="auto"/>
            </w:tcBorders>
          </w:tcPr>
          <w:p w14:paraId="0358930A"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The mission of the United States Air Force is to fly, fight and win in air, space and cyberspace in order to preserve the peace and security, provide for the defense of the United States, support national policy, implement national objectives and overcome any nations responsible for aggressive acts that imperil the nation.</w:t>
            </w:r>
          </w:p>
        </w:tc>
      </w:tr>
      <w:tr w:rsidR="00FB0E88" w:rsidRPr="00C266B2" w14:paraId="65B62989" w14:textId="77777777" w:rsidTr="002349E1">
        <w:trPr>
          <w:trHeight w:val="945"/>
        </w:trPr>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F451A2B"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Position Overview</w:t>
            </w:r>
          </w:p>
        </w:tc>
        <w:tc>
          <w:tcPr>
            <w:tcW w:w="7110" w:type="dxa"/>
            <w:tcBorders>
              <w:top w:val="single" w:sz="2" w:space="0" w:color="auto"/>
              <w:left w:val="single" w:sz="2" w:space="0" w:color="auto"/>
              <w:bottom w:val="single" w:sz="2" w:space="0" w:color="auto"/>
              <w:right w:val="single" w:sz="2" w:space="0" w:color="auto"/>
            </w:tcBorders>
          </w:tcPr>
          <w:p w14:paraId="5909BD75" w14:textId="77777777" w:rsidR="00FB0E88" w:rsidRPr="00C266B2" w:rsidRDefault="00FB0E88" w:rsidP="00E64386">
            <w:pPr>
              <w:widowControl w:val="0"/>
              <w:autoSpaceDE w:val="0"/>
              <w:autoSpaceDN w:val="0"/>
              <w:adjustRightInd w:val="0"/>
              <w:contextualSpacing/>
              <w:rPr>
                <w:rFonts w:asciiTheme="majorHAnsi" w:hAnsiTheme="majorHAnsi" w:cstheme="majorHAnsi"/>
              </w:rPr>
            </w:pPr>
            <w:r w:rsidRPr="00C266B2">
              <w:rPr>
                <w:rFonts w:asciiTheme="majorHAnsi" w:hAnsiTheme="majorHAnsi" w:cstheme="majorHAnsi"/>
              </w:rPr>
              <w:t xml:space="preserve">The </w:t>
            </w:r>
            <w:r w:rsidRPr="00C266B2">
              <w:rPr>
                <w:rFonts w:asciiTheme="majorHAnsi" w:hAnsiTheme="majorHAnsi" w:cstheme="majorHAnsi"/>
                <w:bCs/>
              </w:rPr>
              <w:t>assistant secretary of the Air Force (acquisition, technology, logistics)</w:t>
            </w:r>
            <w:r w:rsidRPr="00C266B2">
              <w:rPr>
                <w:rFonts w:asciiTheme="majorHAnsi" w:hAnsiTheme="majorHAnsi" w:cstheme="majorHAnsi"/>
              </w:rPr>
              <w:t xml:space="preserve"> is a civilian officer. The assistant secretary is the Air Force service acquisition executive (SAE), responsible for all Air Force research, development and non-space acquisition activities.</w:t>
            </w:r>
          </w:p>
        </w:tc>
      </w:tr>
      <w:tr w:rsidR="00FB0E88" w:rsidRPr="00C266B2" w14:paraId="36427609"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8646C86"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Compensation</w:t>
            </w:r>
          </w:p>
        </w:tc>
        <w:tc>
          <w:tcPr>
            <w:tcW w:w="7110" w:type="dxa"/>
            <w:tcBorders>
              <w:top w:val="single" w:sz="2" w:space="0" w:color="auto"/>
              <w:left w:val="single" w:sz="2" w:space="0" w:color="auto"/>
              <w:bottom w:val="single" w:sz="2" w:space="0" w:color="auto"/>
              <w:right w:val="single" w:sz="2" w:space="0" w:color="auto"/>
            </w:tcBorders>
          </w:tcPr>
          <w:p w14:paraId="5FA41EE7" w14:textId="5DFCE12A" w:rsidR="00FB0E88" w:rsidRPr="00C266B2" w:rsidRDefault="00FB0E88" w:rsidP="008B3E30">
            <w:pPr>
              <w:contextualSpacing/>
              <w:rPr>
                <w:rFonts w:asciiTheme="majorHAnsi" w:hAnsiTheme="majorHAnsi" w:cstheme="majorHAnsi"/>
                <w:bCs/>
              </w:rPr>
            </w:pPr>
            <w:r w:rsidRPr="00C266B2">
              <w:rPr>
                <w:rFonts w:asciiTheme="majorHAnsi" w:hAnsiTheme="majorHAnsi" w:cstheme="majorHAnsi"/>
                <w:bCs/>
              </w:rPr>
              <w:t>Level IV $</w:t>
            </w:r>
            <w:r w:rsidR="008740A3">
              <w:rPr>
                <w:rFonts w:asciiTheme="majorHAnsi" w:hAnsiTheme="majorHAnsi" w:cstheme="majorHAnsi"/>
                <w:bCs/>
              </w:rPr>
              <w:t>158,500</w:t>
            </w:r>
            <w:r w:rsidRPr="00C266B2">
              <w:rPr>
                <w:rFonts w:asciiTheme="majorHAnsi" w:hAnsiTheme="majorHAnsi" w:cstheme="majorHAnsi"/>
                <w:bCs/>
              </w:rPr>
              <w:t xml:space="preserve"> (5 U.S.C. § 5315)</w:t>
            </w:r>
            <w:r w:rsidRPr="00C266B2">
              <w:rPr>
                <w:rStyle w:val="EndnoteReference"/>
                <w:rFonts w:asciiTheme="majorHAnsi" w:hAnsiTheme="majorHAnsi" w:cstheme="majorHAnsi"/>
                <w:bCs/>
              </w:rPr>
              <w:endnoteReference w:id="1"/>
            </w:r>
          </w:p>
        </w:tc>
      </w:tr>
      <w:tr w:rsidR="00FB0E88" w:rsidRPr="00C266B2" w14:paraId="4A342216"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EB70340"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Position Reports to</w:t>
            </w:r>
          </w:p>
        </w:tc>
        <w:tc>
          <w:tcPr>
            <w:tcW w:w="7110" w:type="dxa"/>
            <w:tcBorders>
              <w:top w:val="single" w:sz="2" w:space="0" w:color="auto"/>
              <w:left w:val="single" w:sz="2" w:space="0" w:color="auto"/>
              <w:bottom w:val="single" w:sz="2" w:space="0" w:color="auto"/>
              <w:right w:val="single" w:sz="2" w:space="0" w:color="auto"/>
            </w:tcBorders>
          </w:tcPr>
          <w:p w14:paraId="3E0468C5"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Secretary of the Air Force</w:t>
            </w:r>
          </w:p>
        </w:tc>
      </w:tr>
      <w:tr w:rsidR="00FB0E88" w:rsidRPr="00C266B2" w14:paraId="72EFE74A" w14:textId="77777777" w:rsidTr="002349E1">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D0C7BA2" w14:textId="77777777" w:rsidR="00FB0E88" w:rsidRPr="00C266B2" w:rsidRDefault="00FB0E88" w:rsidP="00E64386">
            <w:pPr>
              <w:contextualSpacing/>
              <w:jc w:val="center"/>
              <w:rPr>
                <w:rFonts w:asciiTheme="majorHAnsi" w:hAnsiTheme="majorHAnsi" w:cstheme="majorHAnsi"/>
                <w:b/>
              </w:rPr>
            </w:pPr>
            <w:r w:rsidRPr="00C266B2">
              <w:rPr>
                <w:rFonts w:asciiTheme="majorHAnsi" w:hAnsiTheme="majorHAnsi" w:cstheme="majorHAnsi"/>
                <w:b/>
              </w:rPr>
              <w:t>RESPONSIBILITIES</w:t>
            </w:r>
          </w:p>
        </w:tc>
      </w:tr>
      <w:tr w:rsidR="00FB0E88" w:rsidRPr="00C266B2" w14:paraId="049A457E"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89023B"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Management Scope</w:t>
            </w:r>
          </w:p>
        </w:tc>
        <w:tc>
          <w:tcPr>
            <w:tcW w:w="7110" w:type="dxa"/>
            <w:tcBorders>
              <w:top w:val="single" w:sz="2" w:space="0" w:color="auto"/>
              <w:left w:val="single" w:sz="2" w:space="0" w:color="auto"/>
              <w:bottom w:val="single" w:sz="2" w:space="0" w:color="auto"/>
              <w:right w:val="single" w:sz="2" w:space="0" w:color="auto"/>
            </w:tcBorders>
          </w:tcPr>
          <w:p w14:paraId="3B27977B"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As the Air Force’s SAE, the assistant secretary provides direction, guidance and supervision of all matters pertaining to the formulation, review, approval and execution of acquisition plans, policies and programs. The SAE directs $40 billion annual investments that include major programs such as the KC-X (</w:t>
            </w:r>
            <w:r w:rsidRPr="00C266B2">
              <w:rPr>
                <w:rFonts w:asciiTheme="majorHAnsi" w:hAnsiTheme="majorHAnsi" w:cstheme="majorHAnsi"/>
                <w:lang w:val="en"/>
              </w:rPr>
              <w:t>aerial refueling tanker aircraft</w:t>
            </w:r>
            <w:r w:rsidRPr="00C266B2">
              <w:rPr>
                <w:rFonts w:asciiTheme="majorHAnsi" w:hAnsiTheme="majorHAnsi" w:cstheme="majorHAnsi"/>
              </w:rPr>
              <w:t>), F-22A (fighter aircraft), F-35 (joint strike fighter), C-17 (military transport aircraft) and munitions, as well as capability areas such as information technology, command and control, intelligence, surveillance and reconnaissance systems. The SAE formulates and executes the $210 billion Air Force investment strategy to acquire systems and support services to provide combat capability to joint warfighting commanders.</w:t>
            </w:r>
          </w:p>
          <w:p w14:paraId="78EB21DF" w14:textId="77777777" w:rsidR="00FB0E88" w:rsidRPr="00C266B2" w:rsidRDefault="00FB0E88" w:rsidP="00E64386">
            <w:pPr>
              <w:contextualSpacing/>
              <w:rPr>
                <w:rFonts w:asciiTheme="majorHAnsi" w:hAnsiTheme="majorHAnsi" w:cstheme="majorHAnsi"/>
              </w:rPr>
            </w:pPr>
          </w:p>
          <w:p w14:paraId="6F7F6032"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 xml:space="preserve">The organization consists of the immediate staff to the assistant secretary, an executive action group, the Air Force Human Systems Integration Office, functional and capability directorates and program executive officers (PEOs). </w:t>
            </w:r>
          </w:p>
        </w:tc>
      </w:tr>
      <w:tr w:rsidR="00FB0E88" w:rsidRPr="00C266B2" w14:paraId="3A315062"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68B8D5"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Primary Responsibilities</w:t>
            </w:r>
          </w:p>
        </w:tc>
        <w:tc>
          <w:tcPr>
            <w:tcW w:w="7110" w:type="dxa"/>
            <w:tcBorders>
              <w:top w:val="single" w:sz="2" w:space="0" w:color="auto"/>
              <w:left w:val="single" w:sz="2" w:space="0" w:color="auto"/>
              <w:bottom w:val="single" w:sz="2" w:space="0" w:color="auto"/>
              <w:right w:val="single" w:sz="2" w:space="0" w:color="auto"/>
            </w:tcBorders>
          </w:tcPr>
          <w:p w14:paraId="258796DA" w14:textId="59B2F567" w:rsidR="00FB0E88" w:rsidRPr="00C266B2" w:rsidRDefault="00FB0E88" w:rsidP="00FB0E88">
            <w:pPr>
              <w:numPr>
                <w:ilvl w:val="0"/>
                <w:numId w:val="34"/>
              </w:numPr>
              <w:ind w:left="360"/>
              <w:contextualSpacing/>
              <w:rPr>
                <w:rFonts w:asciiTheme="majorHAnsi" w:eastAsia="Calibri" w:hAnsiTheme="majorHAnsi" w:cstheme="majorHAnsi"/>
              </w:rPr>
            </w:pPr>
            <w:r w:rsidRPr="00C266B2">
              <w:rPr>
                <w:rFonts w:asciiTheme="majorHAnsi" w:eastAsia="Calibri" w:hAnsiTheme="majorHAnsi" w:cstheme="majorHAnsi"/>
              </w:rPr>
              <w:t xml:space="preserve">Serves as the acquisition executive </w:t>
            </w:r>
            <w:r w:rsidRPr="00C266B2">
              <w:rPr>
                <w:rFonts w:asciiTheme="majorHAnsi" w:hAnsiTheme="majorHAnsi" w:cstheme="majorHAnsi"/>
              </w:rPr>
              <w:t>representing the Air Force to the undersecretary of defense for acquisition, technology and logistics, and to Congress, on all matters relating to acquisition policy and programs</w:t>
            </w:r>
            <w:r w:rsidR="003D1E28">
              <w:rPr>
                <w:rFonts w:asciiTheme="majorHAnsi" w:hAnsiTheme="majorHAnsi" w:cstheme="majorHAnsi"/>
              </w:rPr>
              <w:t>.</w:t>
            </w:r>
          </w:p>
          <w:p w14:paraId="5DB2EA02" w14:textId="417D54D2" w:rsidR="00FB0E88" w:rsidRPr="00C266B2" w:rsidRDefault="00FB0E88" w:rsidP="00FB0E88">
            <w:pPr>
              <w:numPr>
                <w:ilvl w:val="0"/>
                <w:numId w:val="34"/>
              </w:numPr>
              <w:ind w:left="360"/>
              <w:contextualSpacing/>
              <w:rPr>
                <w:rFonts w:asciiTheme="majorHAnsi" w:eastAsia="Calibri" w:hAnsiTheme="majorHAnsi" w:cstheme="majorHAnsi"/>
              </w:rPr>
            </w:pPr>
            <w:r w:rsidRPr="00C266B2">
              <w:rPr>
                <w:rFonts w:asciiTheme="majorHAnsi" w:hAnsiTheme="majorHAnsi" w:cstheme="majorHAnsi"/>
              </w:rPr>
              <w:t>Establishes policies and procedures, and manages the Air Force’s research, development and acquisition activities in accordance with Department of Defense 5000 Series directives</w:t>
            </w:r>
            <w:r w:rsidR="003D1E28">
              <w:rPr>
                <w:rFonts w:asciiTheme="majorHAnsi" w:hAnsiTheme="majorHAnsi" w:cstheme="majorHAnsi"/>
              </w:rPr>
              <w:t>.</w:t>
            </w:r>
          </w:p>
          <w:p w14:paraId="33C82D23" w14:textId="002BE56B" w:rsidR="00FB0E88" w:rsidRPr="00C266B2" w:rsidRDefault="00FB0E88" w:rsidP="00FB0E88">
            <w:pPr>
              <w:numPr>
                <w:ilvl w:val="0"/>
                <w:numId w:val="34"/>
              </w:numPr>
              <w:ind w:left="360"/>
              <w:contextualSpacing/>
              <w:rPr>
                <w:rFonts w:asciiTheme="majorHAnsi" w:eastAsia="Calibri" w:hAnsiTheme="majorHAnsi" w:cstheme="majorHAnsi"/>
              </w:rPr>
            </w:pPr>
            <w:r w:rsidRPr="00C266B2">
              <w:rPr>
                <w:rFonts w:asciiTheme="majorHAnsi" w:hAnsiTheme="majorHAnsi" w:cstheme="majorHAnsi"/>
              </w:rPr>
              <w:t>Takes responsibility for the development and acquisition of Air Force platforms and weapon systems</w:t>
            </w:r>
            <w:r w:rsidR="003D1E28">
              <w:rPr>
                <w:rFonts w:asciiTheme="majorHAnsi" w:hAnsiTheme="majorHAnsi" w:cstheme="majorHAnsi"/>
              </w:rPr>
              <w:t>.</w:t>
            </w:r>
          </w:p>
          <w:p w14:paraId="21786C76" w14:textId="77777777" w:rsidR="00FB0E88" w:rsidRPr="00C266B2" w:rsidRDefault="00FB0E88" w:rsidP="00FB0E88">
            <w:pPr>
              <w:pStyle w:val="ListParagraph"/>
              <w:numPr>
                <w:ilvl w:val="0"/>
                <w:numId w:val="42"/>
              </w:numPr>
              <w:rPr>
                <w:rFonts w:asciiTheme="majorHAnsi" w:eastAsia="Calibri" w:hAnsiTheme="majorHAnsi" w:cstheme="majorHAnsi"/>
              </w:rPr>
            </w:pPr>
            <w:r w:rsidRPr="00C266B2">
              <w:rPr>
                <w:rFonts w:asciiTheme="majorHAnsi" w:eastAsia="Calibri" w:hAnsiTheme="majorHAnsi" w:cstheme="majorHAnsi"/>
              </w:rPr>
              <w:t xml:space="preserve">Oversees the operation of the </w:t>
            </w:r>
            <w:r w:rsidRPr="00C266B2">
              <w:rPr>
                <w:rFonts w:asciiTheme="majorHAnsi" w:hAnsiTheme="majorHAnsi" w:cstheme="majorHAnsi"/>
                <w:bCs/>
              </w:rPr>
              <w:t>following capability directorates:</w:t>
            </w:r>
          </w:p>
          <w:p w14:paraId="23E5AF0E" w14:textId="2F0CE747" w:rsidR="00FB0E88" w:rsidRPr="00C266B2" w:rsidRDefault="00FB0E88" w:rsidP="00FB0E88">
            <w:pPr>
              <w:pStyle w:val="ListParagraph"/>
              <w:numPr>
                <w:ilvl w:val="0"/>
                <w:numId w:val="43"/>
              </w:numPr>
              <w:rPr>
                <w:rFonts w:asciiTheme="majorHAnsi" w:eastAsia="Calibri" w:hAnsiTheme="majorHAnsi" w:cstheme="majorHAnsi"/>
              </w:rPr>
            </w:pPr>
            <w:r w:rsidRPr="00C266B2">
              <w:rPr>
                <w:rFonts w:asciiTheme="majorHAnsi" w:hAnsiTheme="majorHAnsi" w:cstheme="majorHAnsi"/>
                <w:bCs/>
              </w:rPr>
              <w:t>Information Dominance</w:t>
            </w:r>
            <w:r w:rsidR="003D1E28">
              <w:rPr>
                <w:rFonts w:asciiTheme="majorHAnsi" w:hAnsiTheme="majorHAnsi" w:cstheme="majorHAnsi"/>
                <w:bCs/>
              </w:rPr>
              <w:t>.</w:t>
            </w:r>
          </w:p>
          <w:p w14:paraId="3D796ACD" w14:textId="1D116B7C" w:rsidR="00FB0E88" w:rsidRPr="00C266B2" w:rsidRDefault="00FB0E88" w:rsidP="00FB0E88">
            <w:pPr>
              <w:pStyle w:val="ListParagraph"/>
              <w:numPr>
                <w:ilvl w:val="0"/>
                <w:numId w:val="43"/>
              </w:numPr>
              <w:rPr>
                <w:rFonts w:asciiTheme="majorHAnsi" w:eastAsia="Calibri" w:hAnsiTheme="majorHAnsi" w:cstheme="majorHAnsi"/>
              </w:rPr>
            </w:pPr>
            <w:r w:rsidRPr="00C266B2">
              <w:rPr>
                <w:rFonts w:asciiTheme="majorHAnsi" w:hAnsiTheme="majorHAnsi" w:cstheme="majorHAnsi"/>
                <w:bCs/>
              </w:rPr>
              <w:t>Global Power</w:t>
            </w:r>
            <w:r w:rsidR="003D1E28">
              <w:rPr>
                <w:rFonts w:asciiTheme="majorHAnsi" w:hAnsiTheme="majorHAnsi" w:cstheme="majorHAnsi"/>
                <w:bCs/>
              </w:rPr>
              <w:t>.</w:t>
            </w:r>
          </w:p>
          <w:p w14:paraId="76031595" w14:textId="405529FF" w:rsidR="00FB0E88" w:rsidRPr="00C266B2" w:rsidRDefault="00FB0E88" w:rsidP="00FB0E88">
            <w:pPr>
              <w:pStyle w:val="ListParagraph"/>
              <w:numPr>
                <w:ilvl w:val="0"/>
                <w:numId w:val="43"/>
              </w:numPr>
              <w:rPr>
                <w:rFonts w:asciiTheme="majorHAnsi" w:hAnsiTheme="majorHAnsi" w:cstheme="majorHAnsi"/>
                <w:bCs/>
              </w:rPr>
            </w:pPr>
            <w:r w:rsidRPr="00C266B2">
              <w:rPr>
                <w:rFonts w:asciiTheme="majorHAnsi" w:hAnsiTheme="majorHAnsi" w:cstheme="majorHAnsi"/>
                <w:bCs/>
              </w:rPr>
              <w:lastRenderedPageBreak/>
              <w:t>Global Reach</w:t>
            </w:r>
            <w:r w:rsidR="003D1E28">
              <w:rPr>
                <w:rFonts w:asciiTheme="majorHAnsi" w:hAnsiTheme="majorHAnsi" w:cstheme="majorHAnsi"/>
                <w:bCs/>
              </w:rPr>
              <w:t>.</w:t>
            </w:r>
          </w:p>
          <w:p w14:paraId="6F5FF089" w14:textId="1E38ED16" w:rsidR="00FB0E88" w:rsidRPr="00C266B2" w:rsidRDefault="00FB0E88" w:rsidP="00FB0E88">
            <w:pPr>
              <w:pStyle w:val="ListParagraph"/>
              <w:numPr>
                <w:ilvl w:val="0"/>
                <w:numId w:val="43"/>
              </w:numPr>
              <w:rPr>
                <w:rFonts w:asciiTheme="majorHAnsi" w:eastAsia="Calibri" w:hAnsiTheme="majorHAnsi" w:cstheme="majorHAnsi"/>
              </w:rPr>
            </w:pPr>
            <w:r w:rsidRPr="00C266B2">
              <w:rPr>
                <w:rStyle w:val="s1"/>
                <w:rFonts w:asciiTheme="majorHAnsi" w:hAnsiTheme="majorHAnsi" w:cstheme="majorHAnsi"/>
              </w:rPr>
              <w:t>Space Programs</w:t>
            </w:r>
            <w:r w:rsidR="003D1E28">
              <w:rPr>
                <w:rStyle w:val="s1"/>
                <w:rFonts w:asciiTheme="majorHAnsi" w:hAnsiTheme="majorHAnsi" w:cstheme="majorHAnsi"/>
              </w:rPr>
              <w:t>.</w:t>
            </w:r>
          </w:p>
          <w:p w14:paraId="4E9B97E7" w14:textId="08EC297B" w:rsidR="00FB0E88" w:rsidRPr="00C266B2" w:rsidRDefault="00FB0E88" w:rsidP="00FB0E88">
            <w:pPr>
              <w:pStyle w:val="ListParagraph"/>
              <w:numPr>
                <w:ilvl w:val="0"/>
                <w:numId w:val="43"/>
              </w:numPr>
              <w:rPr>
                <w:rFonts w:asciiTheme="majorHAnsi" w:eastAsia="Calibri" w:hAnsiTheme="majorHAnsi" w:cstheme="majorHAnsi"/>
              </w:rPr>
            </w:pPr>
            <w:r w:rsidRPr="00C266B2">
              <w:rPr>
                <w:rFonts w:asciiTheme="majorHAnsi" w:eastAsia="Calibri" w:hAnsiTheme="majorHAnsi" w:cstheme="majorHAnsi"/>
              </w:rPr>
              <w:t>Special Programs</w:t>
            </w:r>
            <w:r w:rsidR="003D1E28">
              <w:rPr>
                <w:rFonts w:asciiTheme="majorHAnsi" w:eastAsia="Calibri" w:hAnsiTheme="majorHAnsi" w:cstheme="majorHAnsi"/>
              </w:rPr>
              <w:t>.</w:t>
            </w:r>
          </w:p>
          <w:p w14:paraId="421F548E" w14:textId="77777777" w:rsidR="00FB0E88" w:rsidRPr="00C266B2" w:rsidRDefault="00FB0E88" w:rsidP="00FB0E88">
            <w:pPr>
              <w:pStyle w:val="ListParagraph"/>
              <w:numPr>
                <w:ilvl w:val="0"/>
                <w:numId w:val="42"/>
              </w:numPr>
              <w:rPr>
                <w:rFonts w:asciiTheme="majorHAnsi" w:eastAsia="Calibri" w:hAnsiTheme="majorHAnsi" w:cstheme="majorHAnsi"/>
              </w:rPr>
            </w:pPr>
            <w:r w:rsidRPr="00C266B2">
              <w:rPr>
                <w:rFonts w:asciiTheme="majorHAnsi" w:eastAsia="Calibri" w:hAnsiTheme="majorHAnsi" w:cstheme="majorHAnsi"/>
              </w:rPr>
              <w:t>Provides management and oversight to the following functional directorates:</w:t>
            </w:r>
          </w:p>
          <w:p w14:paraId="46FBAB0B" w14:textId="670007E8"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Scientific Advisory Board</w:t>
            </w:r>
            <w:r w:rsidR="003D1E28">
              <w:rPr>
                <w:rFonts w:asciiTheme="majorHAnsi" w:eastAsia="Calibri" w:hAnsiTheme="majorHAnsi" w:cstheme="majorHAnsi"/>
              </w:rPr>
              <w:t>.</w:t>
            </w:r>
          </w:p>
          <w:p w14:paraId="3FDDAE92" w14:textId="073C4047"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Contracting</w:t>
            </w:r>
            <w:r w:rsidR="003D1E28">
              <w:rPr>
                <w:rFonts w:asciiTheme="majorHAnsi" w:eastAsia="Calibri" w:hAnsiTheme="majorHAnsi" w:cstheme="majorHAnsi"/>
              </w:rPr>
              <w:t>.</w:t>
            </w:r>
            <w:r w:rsidRPr="00C266B2">
              <w:rPr>
                <w:rFonts w:asciiTheme="majorHAnsi" w:eastAsia="Calibri" w:hAnsiTheme="majorHAnsi" w:cstheme="majorHAnsi"/>
              </w:rPr>
              <w:t xml:space="preserve"> </w:t>
            </w:r>
          </w:p>
          <w:p w14:paraId="367EEE42" w14:textId="2D7A93F9"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Logistics</w:t>
            </w:r>
            <w:r w:rsidR="003D1E28">
              <w:rPr>
                <w:rFonts w:asciiTheme="majorHAnsi" w:eastAsia="Calibri" w:hAnsiTheme="majorHAnsi" w:cstheme="majorHAnsi"/>
              </w:rPr>
              <w:t>.</w:t>
            </w:r>
            <w:r w:rsidRPr="00C266B2">
              <w:rPr>
                <w:rFonts w:asciiTheme="majorHAnsi" w:eastAsia="Calibri" w:hAnsiTheme="majorHAnsi" w:cstheme="majorHAnsi"/>
              </w:rPr>
              <w:t xml:space="preserve"> </w:t>
            </w:r>
          </w:p>
          <w:p w14:paraId="3E871DF0" w14:textId="528B896E"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Science, Technology and Engineering</w:t>
            </w:r>
            <w:r w:rsidR="003D1E28">
              <w:rPr>
                <w:rFonts w:asciiTheme="majorHAnsi" w:eastAsia="Calibri" w:hAnsiTheme="majorHAnsi" w:cstheme="majorHAnsi"/>
              </w:rPr>
              <w:t>.</w:t>
            </w:r>
          </w:p>
          <w:p w14:paraId="6094505C" w14:textId="4E240FDC"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Acquisition Career Management</w:t>
            </w:r>
            <w:r w:rsidR="003D1E28">
              <w:rPr>
                <w:rFonts w:asciiTheme="majorHAnsi" w:eastAsia="Calibri" w:hAnsiTheme="majorHAnsi" w:cstheme="majorHAnsi"/>
              </w:rPr>
              <w:t>.</w:t>
            </w:r>
          </w:p>
          <w:p w14:paraId="34DBC0E6" w14:textId="4956E372" w:rsidR="00FB0E88" w:rsidRPr="00C266B2" w:rsidRDefault="00FB0E88" w:rsidP="00FB0E88">
            <w:pPr>
              <w:pStyle w:val="ListParagraph"/>
              <w:numPr>
                <w:ilvl w:val="0"/>
                <w:numId w:val="44"/>
              </w:numPr>
              <w:rPr>
                <w:rFonts w:asciiTheme="majorHAnsi" w:eastAsia="Calibri" w:hAnsiTheme="majorHAnsi" w:cstheme="majorHAnsi"/>
              </w:rPr>
            </w:pPr>
            <w:r w:rsidRPr="00C266B2">
              <w:rPr>
                <w:rFonts w:asciiTheme="majorHAnsi" w:eastAsia="Calibri" w:hAnsiTheme="majorHAnsi" w:cstheme="majorHAnsi"/>
              </w:rPr>
              <w:t>Acquisition Integration</w:t>
            </w:r>
            <w:r w:rsidR="003D1E28">
              <w:rPr>
                <w:rFonts w:asciiTheme="majorHAnsi" w:eastAsia="Calibri" w:hAnsiTheme="majorHAnsi" w:cstheme="majorHAnsi"/>
              </w:rPr>
              <w:t>.</w:t>
            </w:r>
          </w:p>
          <w:p w14:paraId="6D840B79" w14:textId="77777777" w:rsidR="00FB0E88" w:rsidRPr="00C266B2" w:rsidRDefault="00FB0E88" w:rsidP="00FB0E88">
            <w:pPr>
              <w:pStyle w:val="ListParagraph"/>
              <w:numPr>
                <w:ilvl w:val="0"/>
                <w:numId w:val="42"/>
              </w:numPr>
              <w:rPr>
                <w:rFonts w:asciiTheme="majorHAnsi" w:eastAsia="Calibri" w:hAnsiTheme="majorHAnsi" w:cstheme="majorHAnsi"/>
              </w:rPr>
            </w:pPr>
            <w:r w:rsidRPr="00C266B2">
              <w:rPr>
                <w:rFonts w:asciiTheme="majorHAnsi" w:eastAsia="Calibri" w:hAnsiTheme="majorHAnsi" w:cstheme="majorHAnsi"/>
              </w:rPr>
              <w:t xml:space="preserve">Exercises management, oversight and responsibility for all aspects of life-cycle management for the following PEOs, which have delegated </w:t>
            </w:r>
            <w:r w:rsidRPr="00C266B2">
              <w:rPr>
                <w:rFonts w:asciiTheme="majorHAnsi" w:hAnsiTheme="majorHAnsi" w:cstheme="majorHAnsi"/>
              </w:rPr>
              <w:t>Acquisition Category (</w:t>
            </w:r>
            <w:r w:rsidRPr="00C266B2">
              <w:rPr>
                <w:rFonts w:asciiTheme="majorHAnsi" w:eastAsia="Calibri" w:hAnsiTheme="majorHAnsi" w:cstheme="majorHAnsi"/>
              </w:rPr>
              <w:t>ACAT) II and III and milestone decision authority for programs in their portfolios:</w:t>
            </w:r>
          </w:p>
          <w:p w14:paraId="7DB90B94" w14:textId="22FBD757" w:rsidR="00FB0E88" w:rsidRPr="00C266B2" w:rsidRDefault="00FB0E88" w:rsidP="00FB0E88">
            <w:pPr>
              <w:pStyle w:val="ListParagraph"/>
              <w:numPr>
                <w:ilvl w:val="0"/>
                <w:numId w:val="45"/>
              </w:numPr>
              <w:rPr>
                <w:rFonts w:asciiTheme="majorHAnsi" w:eastAsia="Calibri" w:hAnsiTheme="majorHAnsi" w:cstheme="majorHAnsi"/>
              </w:rPr>
            </w:pPr>
            <w:r w:rsidRPr="00C266B2">
              <w:rPr>
                <w:rFonts w:asciiTheme="majorHAnsi" w:eastAsia="Calibri" w:hAnsiTheme="majorHAnsi" w:cstheme="majorHAnsi"/>
              </w:rPr>
              <w:t>Combat and Mission Support</w:t>
            </w:r>
            <w:r w:rsidR="003D1E28">
              <w:rPr>
                <w:rFonts w:asciiTheme="majorHAnsi" w:eastAsia="Calibri" w:hAnsiTheme="majorHAnsi" w:cstheme="majorHAnsi"/>
              </w:rPr>
              <w:t>.</w:t>
            </w:r>
          </w:p>
          <w:p w14:paraId="3EFE18E3" w14:textId="3280E831" w:rsidR="00FB0E88" w:rsidRPr="00C266B2" w:rsidRDefault="00FB0E88" w:rsidP="00FB0E88">
            <w:pPr>
              <w:pStyle w:val="ListParagraph"/>
              <w:numPr>
                <w:ilvl w:val="0"/>
                <w:numId w:val="45"/>
              </w:numPr>
              <w:rPr>
                <w:rFonts w:asciiTheme="majorHAnsi" w:hAnsiTheme="majorHAnsi" w:cstheme="majorHAnsi"/>
              </w:rPr>
            </w:pPr>
            <w:r w:rsidRPr="00C266B2">
              <w:rPr>
                <w:rStyle w:val="s1"/>
                <w:rFonts w:asciiTheme="majorHAnsi" w:hAnsiTheme="majorHAnsi" w:cstheme="majorHAnsi"/>
              </w:rPr>
              <w:t>Joint Strike Fighter – F-35</w:t>
            </w:r>
            <w:r w:rsidR="003D1E28">
              <w:rPr>
                <w:rStyle w:val="s1"/>
                <w:rFonts w:asciiTheme="majorHAnsi" w:hAnsiTheme="majorHAnsi" w:cstheme="majorHAnsi"/>
              </w:rPr>
              <w:t>.</w:t>
            </w:r>
          </w:p>
          <w:p w14:paraId="350D9A80" w14:textId="16587380"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Weapons</w:t>
            </w:r>
            <w:r w:rsidR="003D1E28">
              <w:rPr>
                <w:rFonts w:asciiTheme="majorHAnsi" w:hAnsiTheme="majorHAnsi" w:cstheme="majorHAnsi"/>
              </w:rPr>
              <w:t>.</w:t>
            </w:r>
          </w:p>
          <w:p w14:paraId="65ECF8C3" w14:textId="5A53A4DA"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Space Systems</w:t>
            </w:r>
            <w:r w:rsidR="003D1E28">
              <w:rPr>
                <w:rFonts w:asciiTheme="majorHAnsi" w:hAnsiTheme="majorHAnsi" w:cstheme="majorHAnsi"/>
              </w:rPr>
              <w:t>.</w:t>
            </w:r>
          </w:p>
          <w:p w14:paraId="4F104FFE" w14:textId="55E8379B"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Strategic Systems</w:t>
            </w:r>
            <w:r w:rsidR="003D1E28">
              <w:rPr>
                <w:rFonts w:asciiTheme="majorHAnsi" w:hAnsiTheme="majorHAnsi" w:cstheme="majorHAnsi"/>
              </w:rPr>
              <w:t>.</w:t>
            </w:r>
          </w:p>
          <w:p w14:paraId="3FD9A67B" w14:textId="48AA0B2D"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Air Force Research Laboratory – Technology Executive Officer</w:t>
            </w:r>
            <w:r w:rsidR="003D1E28">
              <w:rPr>
                <w:rFonts w:asciiTheme="majorHAnsi" w:hAnsiTheme="majorHAnsi" w:cstheme="majorHAnsi"/>
              </w:rPr>
              <w:t>.</w:t>
            </w:r>
          </w:p>
          <w:p w14:paraId="1BD4830B" w14:textId="3E7B9D55"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Tankers</w:t>
            </w:r>
            <w:r w:rsidR="003D1E28">
              <w:rPr>
                <w:rFonts w:asciiTheme="majorHAnsi" w:hAnsiTheme="majorHAnsi" w:cstheme="majorHAnsi"/>
              </w:rPr>
              <w:t>.</w:t>
            </w:r>
          </w:p>
          <w:p w14:paraId="42B405FA" w14:textId="274F9382"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Intelligence, Surveillance and Reconnaissance and Special Operations Forces</w:t>
            </w:r>
            <w:r w:rsidR="003D1E28">
              <w:rPr>
                <w:rFonts w:asciiTheme="majorHAnsi" w:hAnsiTheme="majorHAnsi" w:cstheme="majorHAnsi"/>
              </w:rPr>
              <w:t>.</w:t>
            </w:r>
          </w:p>
          <w:p w14:paraId="0F561E84" w14:textId="32DA9C99"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Fighter/Bomber</w:t>
            </w:r>
            <w:r w:rsidR="003D1E28">
              <w:rPr>
                <w:rFonts w:asciiTheme="majorHAnsi" w:hAnsiTheme="majorHAnsi" w:cstheme="majorHAnsi"/>
              </w:rPr>
              <w:t>.</w:t>
            </w:r>
          </w:p>
          <w:p w14:paraId="75DD677F" w14:textId="07B6602B"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Mobility</w:t>
            </w:r>
            <w:r w:rsidR="003D1E28">
              <w:rPr>
                <w:rFonts w:asciiTheme="majorHAnsi" w:hAnsiTheme="majorHAnsi" w:cstheme="majorHAnsi"/>
              </w:rPr>
              <w:t>.</w:t>
            </w:r>
          </w:p>
          <w:p w14:paraId="49D86028" w14:textId="7A940924"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Agile Combat Systems</w:t>
            </w:r>
            <w:r w:rsidR="003D1E28">
              <w:rPr>
                <w:rFonts w:asciiTheme="majorHAnsi" w:hAnsiTheme="majorHAnsi" w:cstheme="majorHAnsi"/>
              </w:rPr>
              <w:t>.</w:t>
            </w:r>
          </w:p>
          <w:p w14:paraId="0CEDC377" w14:textId="1C2F9AC6"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Command, Control, Communications &amp; Intelligence and Networks</w:t>
            </w:r>
            <w:r w:rsidR="003D1E28">
              <w:rPr>
                <w:rFonts w:asciiTheme="majorHAnsi" w:hAnsiTheme="majorHAnsi" w:cstheme="majorHAnsi"/>
              </w:rPr>
              <w:t>.</w:t>
            </w:r>
          </w:p>
          <w:p w14:paraId="1870530C" w14:textId="69515899"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Business and Enterprise Systems</w:t>
            </w:r>
            <w:r w:rsidR="003D1E28">
              <w:rPr>
                <w:rFonts w:asciiTheme="majorHAnsi" w:hAnsiTheme="majorHAnsi" w:cstheme="majorHAnsi"/>
              </w:rPr>
              <w:t>.</w:t>
            </w:r>
          </w:p>
          <w:p w14:paraId="282EAA49" w14:textId="70C0C809"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Battle Management</w:t>
            </w:r>
            <w:r w:rsidR="003D1E28">
              <w:rPr>
                <w:rFonts w:asciiTheme="majorHAnsi" w:hAnsiTheme="majorHAnsi" w:cstheme="majorHAnsi"/>
              </w:rPr>
              <w:t>.</w:t>
            </w:r>
          </w:p>
          <w:p w14:paraId="21476B78" w14:textId="2EC6F509"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Nuclear Command, Control, Communications</w:t>
            </w:r>
            <w:r w:rsidR="003D1E28">
              <w:rPr>
                <w:rFonts w:asciiTheme="majorHAnsi" w:hAnsiTheme="majorHAnsi" w:cstheme="majorHAnsi"/>
              </w:rPr>
              <w:t>.</w:t>
            </w:r>
          </w:p>
          <w:p w14:paraId="4BF28FDE" w14:textId="21B3262D" w:rsidR="00FB0E88" w:rsidRPr="00C266B2" w:rsidRDefault="00FB0E88" w:rsidP="00FB0E88">
            <w:pPr>
              <w:pStyle w:val="ListParagraph"/>
              <w:numPr>
                <w:ilvl w:val="0"/>
                <w:numId w:val="45"/>
              </w:numPr>
              <w:rPr>
                <w:rFonts w:asciiTheme="majorHAnsi" w:hAnsiTheme="majorHAnsi" w:cstheme="majorHAnsi"/>
              </w:rPr>
            </w:pPr>
            <w:r w:rsidRPr="00C266B2">
              <w:rPr>
                <w:rFonts w:asciiTheme="majorHAnsi" w:hAnsiTheme="majorHAnsi" w:cstheme="majorHAnsi"/>
              </w:rPr>
              <w:t>Rapid Capabilities</w:t>
            </w:r>
            <w:r w:rsidR="003D1E28">
              <w:rPr>
                <w:rFonts w:asciiTheme="majorHAnsi" w:hAnsiTheme="majorHAnsi" w:cstheme="majorHAnsi"/>
              </w:rPr>
              <w:t>.</w:t>
            </w:r>
          </w:p>
          <w:p w14:paraId="3386171C" w14:textId="70CC3FE5" w:rsidR="00FB0E88" w:rsidRPr="00C266B2" w:rsidRDefault="00FB0E88" w:rsidP="00FB0E88">
            <w:pPr>
              <w:pStyle w:val="ListParagraph"/>
              <w:numPr>
                <w:ilvl w:val="0"/>
                <w:numId w:val="42"/>
              </w:numPr>
              <w:rPr>
                <w:rFonts w:asciiTheme="majorHAnsi" w:eastAsia="Calibri" w:hAnsiTheme="majorHAnsi" w:cstheme="majorHAnsi"/>
              </w:rPr>
            </w:pPr>
            <w:r w:rsidRPr="00C266B2">
              <w:rPr>
                <w:rFonts w:asciiTheme="majorHAnsi" w:hAnsiTheme="majorHAnsi" w:cstheme="majorHAnsi"/>
              </w:rPr>
              <w:t>Serves as the program (milestone) decision authority on ACAT 1C programs and recommends decisions on ACAT 1D programs</w:t>
            </w:r>
            <w:r w:rsidR="003D1E28">
              <w:rPr>
                <w:rFonts w:asciiTheme="majorHAnsi" w:hAnsiTheme="majorHAnsi" w:cstheme="majorHAnsi"/>
              </w:rPr>
              <w:t>.</w:t>
            </w:r>
          </w:p>
        </w:tc>
      </w:tr>
      <w:tr w:rsidR="00FB0E88" w:rsidRPr="00C266B2" w14:paraId="4EC98EE0"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0E596D2"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lastRenderedPageBreak/>
              <w:t>Strategic Goals and Priorities</w:t>
            </w:r>
          </w:p>
        </w:tc>
        <w:tc>
          <w:tcPr>
            <w:tcW w:w="7110" w:type="dxa"/>
            <w:tcBorders>
              <w:top w:val="single" w:sz="2" w:space="0" w:color="auto"/>
              <w:left w:val="single" w:sz="2" w:space="0" w:color="auto"/>
              <w:bottom w:val="single" w:sz="2" w:space="0" w:color="auto"/>
              <w:right w:val="single" w:sz="2" w:space="0" w:color="auto"/>
            </w:tcBorders>
            <w:vAlign w:val="center"/>
          </w:tcPr>
          <w:p w14:paraId="52D7BA40" w14:textId="77777777" w:rsidR="00FB0E88" w:rsidRPr="00C266B2" w:rsidRDefault="00FB0E88" w:rsidP="00E64386">
            <w:pPr>
              <w:contextualSpacing/>
              <w:rPr>
                <w:rFonts w:asciiTheme="majorHAnsi" w:hAnsiTheme="majorHAnsi" w:cstheme="majorHAnsi"/>
              </w:rPr>
            </w:pPr>
          </w:p>
          <w:p w14:paraId="3910F96D" w14:textId="77777777" w:rsidR="00FB0E88" w:rsidRPr="00C266B2" w:rsidRDefault="00FB0E88" w:rsidP="00E64386">
            <w:pPr>
              <w:contextualSpacing/>
              <w:rPr>
                <w:rFonts w:asciiTheme="majorHAnsi" w:hAnsiTheme="majorHAnsi" w:cstheme="majorHAnsi"/>
              </w:rPr>
            </w:pPr>
          </w:p>
          <w:p w14:paraId="5B3D8BB6" w14:textId="1248CDFD" w:rsidR="00FB0E88" w:rsidRPr="00C266B2" w:rsidRDefault="00FB0E88" w:rsidP="00E64386">
            <w:pPr>
              <w:ind w:left="72"/>
              <w:contextualSpacing/>
              <w:jc w:val="center"/>
              <w:rPr>
                <w:rFonts w:asciiTheme="majorHAnsi" w:hAnsiTheme="majorHAnsi" w:cstheme="majorHAnsi"/>
              </w:rPr>
            </w:pPr>
            <w:r w:rsidRPr="00C266B2">
              <w:rPr>
                <w:rFonts w:asciiTheme="majorHAnsi" w:hAnsiTheme="majorHAnsi" w:cstheme="majorHAnsi"/>
              </w:rPr>
              <w:t>[Depends on the policy priorities of the administration</w:t>
            </w:r>
            <w:r w:rsidR="002349E1">
              <w:rPr>
                <w:rFonts w:asciiTheme="majorHAnsi" w:hAnsiTheme="majorHAnsi" w:cstheme="majorHAnsi"/>
              </w:rPr>
              <w:t>.</w:t>
            </w:r>
            <w:r w:rsidRPr="00C266B2">
              <w:rPr>
                <w:rFonts w:asciiTheme="majorHAnsi" w:hAnsiTheme="majorHAnsi" w:cstheme="majorHAnsi"/>
              </w:rPr>
              <w:t>]</w:t>
            </w:r>
          </w:p>
          <w:p w14:paraId="63259909" w14:textId="77777777" w:rsidR="00FB0E88" w:rsidRPr="00C266B2" w:rsidRDefault="00FB0E88" w:rsidP="00E64386">
            <w:pPr>
              <w:contextualSpacing/>
              <w:rPr>
                <w:rFonts w:asciiTheme="majorHAnsi" w:hAnsiTheme="majorHAnsi" w:cstheme="majorHAnsi"/>
              </w:rPr>
            </w:pPr>
          </w:p>
          <w:p w14:paraId="346CD8E5" w14:textId="77777777" w:rsidR="00FB0E88" w:rsidRPr="00C266B2" w:rsidRDefault="00FB0E88" w:rsidP="00E64386">
            <w:pPr>
              <w:contextualSpacing/>
              <w:rPr>
                <w:rFonts w:asciiTheme="majorHAnsi" w:hAnsiTheme="majorHAnsi" w:cstheme="majorHAnsi"/>
              </w:rPr>
            </w:pPr>
          </w:p>
        </w:tc>
      </w:tr>
      <w:tr w:rsidR="00FB0E88" w:rsidRPr="00C266B2" w14:paraId="7A7D3190" w14:textId="77777777" w:rsidTr="002349E1">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57AFE5E" w14:textId="77777777" w:rsidR="00FB0E88" w:rsidRPr="00C266B2" w:rsidRDefault="00FB0E88" w:rsidP="00E64386">
            <w:pPr>
              <w:contextualSpacing/>
              <w:jc w:val="center"/>
              <w:rPr>
                <w:rFonts w:asciiTheme="majorHAnsi" w:hAnsiTheme="majorHAnsi" w:cstheme="majorHAnsi"/>
                <w:b/>
              </w:rPr>
            </w:pPr>
            <w:r w:rsidRPr="00C266B2">
              <w:rPr>
                <w:rFonts w:asciiTheme="majorHAnsi" w:hAnsiTheme="majorHAnsi" w:cstheme="majorHAnsi"/>
                <w:b/>
              </w:rPr>
              <w:t>REQUIREMENTS AND COMPETENCIES</w:t>
            </w:r>
          </w:p>
        </w:tc>
      </w:tr>
      <w:tr w:rsidR="00FB0E88" w:rsidRPr="00C266B2" w14:paraId="61FADA7D" w14:textId="77777777" w:rsidTr="002349E1">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FE36437"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Requirements</w:t>
            </w:r>
          </w:p>
        </w:tc>
        <w:tc>
          <w:tcPr>
            <w:tcW w:w="7110" w:type="dxa"/>
            <w:tcBorders>
              <w:top w:val="single" w:sz="2" w:space="0" w:color="auto"/>
              <w:left w:val="single" w:sz="2" w:space="0" w:color="auto"/>
              <w:bottom w:val="single" w:sz="2" w:space="0" w:color="auto"/>
              <w:right w:val="single" w:sz="2" w:space="0" w:color="auto"/>
            </w:tcBorders>
          </w:tcPr>
          <w:p w14:paraId="4188520B" w14:textId="66BC3331" w:rsidR="00FB0E88" w:rsidRPr="00C266B2" w:rsidRDefault="00FB0E88" w:rsidP="00FB0E88">
            <w:pPr>
              <w:numPr>
                <w:ilvl w:val="0"/>
                <w:numId w:val="31"/>
              </w:numPr>
              <w:contextualSpacing/>
              <w:rPr>
                <w:rFonts w:asciiTheme="majorHAnsi" w:eastAsia="Calibri" w:hAnsiTheme="majorHAnsi" w:cstheme="majorHAnsi"/>
              </w:rPr>
            </w:pPr>
            <w:r w:rsidRPr="00C266B2">
              <w:rPr>
                <w:rFonts w:asciiTheme="majorHAnsi" w:eastAsia="Calibri" w:hAnsiTheme="majorHAnsi" w:cstheme="majorHAnsi"/>
              </w:rPr>
              <w:t>Appointed from civilian life</w:t>
            </w:r>
            <w:r w:rsidR="003D1E28">
              <w:rPr>
                <w:rFonts w:asciiTheme="majorHAnsi" w:eastAsia="Calibri" w:hAnsiTheme="majorHAnsi" w:cstheme="majorHAnsi"/>
              </w:rPr>
              <w:t>.</w:t>
            </w:r>
          </w:p>
          <w:p w14:paraId="25C05573" w14:textId="5D04DA82" w:rsidR="00FB0E88" w:rsidRPr="00C266B2" w:rsidRDefault="00FB0E88" w:rsidP="00FB0E88">
            <w:pPr>
              <w:numPr>
                <w:ilvl w:val="0"/>
                <w:numId w:val="31"/>
              </w:numPr>
              <w:contextualSpacing/>
              <w:rPr>
                <w:rFonts w:asciiTheme="majorHAnsi" w:eastAsia="Calibri" w:hAnsiTheme="majorHAnsi" w:cstheme="majorHAnsi"/>
              </w:rPr>
            </w:pPr>
            <w:r w:rsidRPr="00C266B2">
              <w:rPr>
                <w:rFonts w:asciiTheme="majorHAnsi" w:eastAsia="Calibri" w:hAnsiTheme="majorHAnsi" w:cstheme="majorHAnsi"/>
              </w:rPr>
              <w:t>Extensive leadership and management experience</w:t>
            </w:r>
            <w:r w:rsidR="003D1E28">
              <w:rPr>
                <w:rFonts w:asciiTheme="majorHAnsi" w:eastAsia="Calibri" w:hAnsiTheme="majorHAnsi" w:cstheme="majorHAnsi"/>
              </w:rPr>
              <w:t>.</w:t>
            </w:r>
          </w:p>
          <w:p w14:paraId="5E9AF45E" w14:textId="1E3F82CC" w:rsidR="00FB0E88" w:rsidRPr="00C266B2" w:rsidRDefault="00FB0E88" w:rsidP="00FB0E88">
            <w:pPr>
              <w:numPr>
                <w:ilvl w:val="0"/>
                <w:numId w:val="31"/>
              </w:numPr>
              <w:contextualSpacing/>
              <w:rPr>
                <w:rFonts w:asciiTheme="majorHAnsi" w:hAnsiTheme="majorHAnsi" w:cstheme="majorHAnsi"/>
              </w:rPr>
            </w:pPr>
            <w:r w:rsidRPr="00C266B2">
              <w:rPr>
                <w:rFonts w:asciiTheme="majorHAnsi" w:hAnsiTheme="majorHAnsi" w:cstheme="majorHAnsi"/>
              </w:rPr>
              <w:t>Strong substantive expertise in military affairs and civil/military relations</w:t>
            </w:r>
            <w:r w:rsidR="003D1E28">
              <w:rPr>
                <w:rFonts w:asciiTheme="majorHAnsi" w:hAnsiTheme="majorHAnsi" w:cstheme="majorHAnsi"/>
              </w:rPr>
              <w:t>.</w:t>
            </w:r>
          </w:p>
          <w:p w14:paraId="799DA0F2" w14:textId="05899039" w:rsidR="00FB0E88" w:rsidRPr="00C266B2" w:rsidRDefault="00FB0E88" w:rsidP="00FB0E88">
            <w:pPr>
              <w:numPr>
                <w:ilvl w:val="0"/>
                <w:numId w:val="31"/>
              </w:numPr>
              <w:contextualSpacing/>
              <w:rPr>
                <w:rFonts w:asciiTheme="majorHAnsi" w:eastAsia="Calibri" w:hAnsiTheme="majorHAnsi" w:cstheme="majorHAnsi"/>
              </w:rPr>
            </w:pPr>
            <w:r w:rsidRPr="00C266B2">
              <w:rPr>
                <w:rFonts w:asciiTheme="majorHAnsi" w:eastAsia="Calibri" w:hAnsiTheme="majorHAnsi" w:cstheme="majorHAnsi"/>
              </w:rPr>
              <w:t>Experience in Department of Defense, Armed Services Committee and/or other relevant entities</w:t>
            </w:r>
            <w:r w:rsidR="003D1E28">
              <w:rPr>
                <w:rFonts w:asciiTheme="majorHAnsi" w:eastAsia="Calibri" w:hAnsiTheme="majorHAnsi" w:cstheme="majorHAnsi"/>
              </w:rPr>
              <w:t>.</w:t>
            </w:r>
            <w:r w:rsidRPr="00C266B2">
              <w:rPr>
                <w:rFonts w:asciiTheme="majorHAnsi" w:eastAsia="Calibri" w:hAnsiTheme="majorHAnsi" w:cstheme="majorHAnsi"/>
              </w:rPr>
              <w:t xml:space="preserve"> </w:t>
            </w:r>
          </w:p>
          <w:p w14:paraId="2F346C36" w14:textId="096E9275" w:rsidR="00FB0E88" w:rsidRPr="00C266B2" w:rsidRDefault="00FB0E88" w:rsidP="00FB0E88">
            <w:pPr>
              <w:numPr>
                <w:ilvl w:val="0"/>
                <w:numId w:val="31"/>
              </w:numPr>
              <w:contextualSpacing/>
              <w:rPr>
                <w:rFonts w:asciiTheme="majorHAnsi" w:eastAsia="Calibri" w:hAnsiTheme="majorHAnsi" w:cstheme="majorHAnsi"/>
              </w:rPr>
            </w:pPr>
            <w:r w:rsidRPr="00C266B2">
              <w:rPr>
                <w:rFonts w:asciiTheme="majorHAnsi" w:eastAsia="Calibri" w:hAnsiTheme="majorHAnsi" w:cstheme="majorHAnsi"/>
              </w:rPr>
              <w:t>Substantive scientific and/or engineering background</w:t>
            </w:r>
            <w:r w:rsidR="003D1E28">
              <w:rPr>
                <w:rFonts w:asciiTheme="majorHAnsi" w:eastAsia="Calibri" w:hAnsiTheme="majorHAnsi" w:cstheme="majorHAnsi"/>
              </w:rPr>
              <w:t>.</w:t>
            </w:r>
          </w:p>
          <w:p w14:paraId="092816AF" w14:textId="0525963B" w:rsidR="00FB0E88" w:rsidRPr="00C266B2" w:rsidRDefault="00FB0E88" w:rsidP="00FB0E88">
            <w:pPr>
              <w:numPr>
                <w:ilvl w:val="0"/>
                <w:numId w:val="31"/>
              </w:numPr>
              <w:contextualSpacing/>
              <w:rPr>
                <w:rFonts w:asciiTheme="majorHAnsi" w:eastAsia="Calibri" w:hAnsiTheme="majorHAnsi" w:cstheme="majorHAnsi"/>
                <w:b/>
                <w:bCs/>
                <w:u w:val="single"/>
              </w:rPr>
            </w:pPr>
            <w:r w:rsidRPr="00C266B2">
              <w:rPr>
                <w:rFonts w:asciiTheme="majorHAnsi" w:eastAsia="Calibri" w:hAnsiTheme="majorHAnsi" w:cstheme="majorHAnsi"/>
              </w:rPr>
              <w:lastRenderedPageBreak/>
              <w:t>Background or experience in federal budgeting, acquisition and workforce management</w:t>
            </w:r>
            <w:r w:rsidR="003D1E28">
              <w:rPr>
                <w:rFonts w:asciiTheme="majorHAnsi" w:eastAsia="Calibri" w:hAnsiTheme="majorHAnsi" w:cstheme="majorHAnsi"/>
              </w:rPr>
              <w:t>.</w:t>
            </w:r>
          </w:p>
        </w:tc>
      </w:tr>
      <w:tr w:rsidR="00FB0E88" w:rsidRPr="00C266B2" w14:paraId="436C146C" w14:textId="77777777" w:rsidTr="002349E1">
        <w:trPr>
          <w:trHeight w:val="32"/>
        </w:trPr>
        <w:tc>
          <w:tcPr>
            <w:tcW w:w="25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9CDFF9" w14:textId="77777777"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lastRenderedPageBreak/>
              <w:t>Competencies</w:t>
            </w:r>
          </w:p>
        </w:tc>
        <w:tc>
          <w:tcPr>
            <w:tcW w:w="7110" w:type="dxa"/>
            <w:tcBorders>
              <w:top w:val="single" w:sz="2" w:space="0" w:color="auto"/>
              <w:left w:val="single" w:sz="2" w:space="0" w:color="auto"/>
              <w:bottom w:val="single" w:sz="2" w:space="0" w:color="auto"/>
              <w:right w:val="single" w:sz="2" w:space="0" w:color="auto"/>
            </w:tcBorders>
          </w:tcPr>
          <w:p w14:paraId="7049493E" w14:textId="0E00FFD9" w:rsidR="00FB0E88" w:rsidRPr="00C266B2" w:rsidRDefault="00FB0E88" w:rsidP="00FB0E88">
            <w:pPr>
              <w:numPr>
                <w:ilvl w:val="0"/>
                <w:numId w:val="32"/>
              </w:numPr>
              <w:contextualSpacing/>
              <w:rPr>
                <w:rFonts w:asciiTheme="majorHAnsi" w:eastAsia="Calibri" w:hAnsiTheme="majorHAnsi" w:cstheme="majorHAnsi"/>
              </w:rPr>
            </w:pPr>
            <w:r w:rsidRPr="00C266B2">
              <w:rPr>
                <w:rFonts w:asciiTheme="majorHAnsi" w:eastAsia="Calibri" w:hAnsiTheme="majorHAnsi" w:cstheme="majorHAnsi"/>
              </w:rPr>
              <w:t>Strong communication and interpersonal skills</w:t>
            </w:r>
            <w:r w:rsidR="003D1E28">
              <w:rPr>
                <w:rFonts w:asciiTheme="majorHAnsi" w:eastAsia="Calibri" w:hAnsiTheme="majorHAnsi" w:cstheme="majorHAnsi"/>
              </w:rPr>
              <w:t>.</w:t>
            </w:r>
            <w:r w:rsidRPr="00C266B2">
              <w:rPr>
                <w:rFonts w:asciiTheme="majorHAnsi" w:eastAsia="Calibri" w:hAnsiTheme="majorHAnsi" w:cstheme="majorHAnsi"/>
              </w:rPr>
              <w:t xml:space="preserve"> </w:t>
            </w:r>
          </w:p>
          <w:p w14:paraId="468BBE0B" w14:textId="5763D3F7" w:rsidR="00FB0E88" w:rsidRPr="00C266B2" w:rsidRDefault="00FB0E88" w:rsidP="00FB0E88">
            <w:pPr>
              <w:numPr>
                <w:ilvl w:val="0"/>
                <w:numId w:val="32"/>
              </w:numPr>
              <w:contextualSpacing/>
              <w:rPr>
                <w:rFonts w:asciiTheme="majorHAnsi" w:eastAsia="Calibri" w:hAnsiTheme="majorHAnsi" w:cstheme="majorHAnsi"/>
                <w:bCs/>
              </w:rPr>
            </w:pPr>
            <w:r w:rsidRPr="00C266B2">
              <w:rPr>
                <w:rFonts w:asciiTheme="majorHAnsi" w:eastAsia="Calibri" w:hAnsiTheme="majorHAnsi" w:cstheme="majorHAnsi"/>
              </w:rPr>
              <w:t>Ability to handle sensitive matters</w:t>
            </w:r>
            <w:r w:rsidR="003D1E28">
              <w:rPr>
                <w:rFonts w:asciiTheme="majorHAnsi" w:eastAsia="Calibri" w:hAnsiTheme="majorHAnsi" w:cstheme="majorHAnsi"/>
              </w:rPr>
              <w:t>.</w:t>
            </w:r>
          </w:p>
          <w:p w14:paraId="7A0682D6" w14:textId="2BC7840C" w:rsidR="00FB0E88" w:rsidRPr="00C266B2" w:rsidRDefault="00FB0E88" w:rsidP="00FB0E88">
            <w:pPr>
              <w:numPr>
                <w:ilvl w:val="0"/>
                <w:numId w:val="32"/>
              </w:numPr>
              <w:contextualSpacing/>
              <w:rPr>
                <w:rFonts w:asciiTheme="majorHAnsi" w:eastAsia="Calibri" w:hAnsiTheme="majorHAnsi" w:cstheme="majorHAnsi"/>
              </w:rPr>
            </w:pPr>
            <w:r w:rsidRPr="00C266B2">
              <w:rPr>
                <w:rFonts w:asciiTheme="majorHAnsi" w:eastAsia="Calibri" w:hAnsiTheme="majorHAnsi" w:cstheme="majorHAnsi"/>
              </w:rPr>
              <w:t>Ability to integrate diverse missions and organizations</w:t>
            </w:r>
            <w:r w:rsidR="003D1E28">
              <w:rPr>
                <w:rFonts w:asciiTheme="majorHAnsi" w:eastAsia="Calibri" w:hAnsiTheme="majorHAnsi" w:cstheme="majorHAnsi"/>
              </w:rPr>
              <w:t>.</w:t>
            </w:r>
          </w:p>
          <w:p w14:paraId="66D63996" w14:textId="2021879E" w:rsidR="00FB0E88" w:rsidRPr="00C266B2" w:rsidRDefault="00FB0E88" w:rsidP="00FB0E88">
            <w:pPr>
              <w:numPr>
                <w:ilvl w:val="0"/>
                <w:numId w:val="32"/>
              </w:numPr>
              <w:contextualSpacing/>
              <w:rPr>
                <w:rFonts w:asciiTheme="majorHAnsi" w:eastAsia="Calibri" w:hAnsiTheme="majorHAnsi" w:cstheme="majorHAnsi"/>
                <w:bCs/>
              </w:rPr>
            </w:pPr>
            <w:r w:rsidRPr="00C266B2">
              <w:rPr>
                <w:rFonts w:asciiTheme="majorHAnsi" w:eastAsia="Calibri" w:hAnsiTheme="majorHAnsi" w:cstheme="majorHAnsi"/>
              </w:rPr>
              <w:t>Ability to work under high pressure</w:t>
            </w:r>
            <w:r w:rsidR="003D1E28">
              <w:rPr>
                <w:rFonts w:asciiTheme="majorHAnsi" w:eastAsia="Calibri" w:hAnsiTheme="majorHAnsi" w:cstheme="majorHAnsi"/>
              </w:rPr>
              <w:t>.</w:t>
            </w:r>
          </w:p>
        </w:tc>
      </w:tr>
      <w:tr w:rsidR="00FB0E88" w:rsidRPr="00C266B2" w14:paraId="68ABD96E" w14:textId="77777777" w:rsidTr="002349E1">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58406A" w14:textId="77777777" w:rsidR="00FB0E88" w:rsidRPr="00C266B2" w:rsidRDefault="00FB0E88" w:rsidP="00E64386">
            <w:pPr>
              <w:contextualSpacing/>
              <w:jc w:val="center"/>
              <w:rPr>
                <w:rFonts w:asciiTheme="majorHAnsi" w:hAnsiTheme="majorHAnsi" w:cstheme="majorHAnsi"/>
                <w:b/>
              </w:rPr>
            </w:pPr>
            <w:r w:rsidRPr="00C266B2">
              <w:rPr>
                <w:rFonts w:asciiTheme="majorHAnsi" w:hAnsiTheme="majorHAnsi" w:cstheme="majorHAnsi"/>
                <w:b/>
              </w:rPr>
              <w:t>PAST APPOINTEES</w:t>
            </w:r>
          </w:p>
        </w:tc>
      </w:tr>
      <w:tr w:rsidR="00FB0E88" w:rsidRPr="00C266B2" w14:paraId="4565A2B4" w14:textId="77777777" w:rsidTr="002349E1">
        <w:tc>
          <w:tcPr>
            <w:tcW w:w="9630" w:type="dxa"/>
            <w:gridSpan w:val="2"/>
            <w:tcBorders>
              <w:top w:val="single" w:sz="2" w:space="0" w:color="auto"/>
              <w:left w:val="single" w:sz="2" w:space="0" w:color="auto"/>
              <w:bottom w:val="single" w:sz="2" w:space="0" w:color="auto"/>
              <w:right w:val="single" w:sz="2" w:space="0" w:color="auto"/>
            </w:tcBorders>
          </w:tcPr>
          <w:p w14:paraId="23C13046" w14:textId="5402C33F" w:rsidR="00FB0E88" w:rsidRPr="00C266B2" w:rsidRDefault="003D1E28" w:rsidP="00E64386">
            <w:pPr>
              <w:pStyle w:val="NoSpacing"/>
              <w:contextualSpacing/>
              <w:rPr>
                <w:rFonts w:asciiTheme="majorHAnsi" w:hAnsiTheme="majorHAnsi" w:cstheme="majorHAnsi"/>
              </w:rPr>
            </w:pPr>
            <w:r>
              <w:rPr>
                <w:rFonts w:asciiTheme="majorHAnsi" w:hAnsiTheme="majorHAnsi" w:cstheme="majorHAnsi"/>
              </w:rPr>
              <w:t>William B. Roper, Jr. (2018 to 2021) – Director, Strategic Capabilities Office, Department of Defense; Ballistic Missile Architect, Missile Defense Agency; Member, National Defense Strategy steering group</w:t>
            </w:r>
          </w:p>
        </w:tc>
      </w:tr>
      <w:tr w:rsidR="00FB0E88" w:rsidRPr="00C266B2" w14:paraId="461D1868" w14:textId="77777777" w:rsidTr="002349E1">
        <w:tc>
          <w:tcPr>
            <w:tcW w:w="9630" w:type="dxa"/>
            <w:gridSpan w:val="2"/>
            <w:tcBorders>
              <w:top w:val="single" w:sz="2" w:space="0" w:color="auto"/>
              <w:left w:val="single" w:sz="2" w:space="0" w:color="auto"/>
              <w:bottom w:val="single" w:sz="2" w:space="0" w:color="auto"/>
              <w:right w:val="single" w:sz="2" w:space="0" w:color="auto"/>
            </w:tcBorders>
          </w:tcPr>
          <w:p w14:paraId="671FB2D9" w14:textId="41EEE53F" w:rsidR="00FB0E88" w:rsidRPr="00C266B2" w:rsidRDefault="00FB0E88" w:rsidP="00E64386">
            <w:pPr>
              <w:contextualSpacing/>
              <w:rPr>
                <w:rFonts w:asciiTheme="majorHAnsi" w:hAnsiTheme="majorHAnsi" w:cstheme="majorHAnsi"/>
              </w:rPr>
            </w:pPr>
            <w:r w:rsidRPr="00C266B2">
              <w:rPr>
                <w:rFonts w:asciiTheme="majorHAnsi" w:hAnsiTheme="majorHAnsi" w:cstheme="majorHAnsi"/>
              </w:rPr>
              <w:t xml:space="preserve">William A. LaPlante (2014 to 2015) – Member, Defense Science Board; U.S. Strategic Command Senior Advisory Group and Naval Research Advisory Committee; Adjunct lecturer, Department of Mechanical Engineering, Catholic University of America; Missile Defense Portfolio Director, The MITRE Corporation </w:t>
            </w:r>
          </w:p>
        </w:tc>
      </w:tr>
      <w:tr w:rsidR="00FB0E88" w:rsidRPr="00C266B2" w14:paraId="1C1E34F6" w14:textId="77777777" w:rsidTr="002349E1">
        <w:trPr>
          <w:trHeight w:val="261"/>
        </w:trPr>
        <w:tc>
          <w:tcPr>
            <w:tcW w:w="9630" w:type="dxa"/>
            <w:gridSpan w:val="2"/>
            <w:tcBorders>
              <w:top w:val="single" w:sz="2" w:space="0" w:color="auto"/>
              <w:left w:val="single" w:sz="2" w:space="0" w:color="auto"/>
              <w:bottom w:val="single" w:sz="2" w:space="0" w:color="auto"/>
              <w:right w:val="single" w:sz="2" w:space="0" w:color="auto"/>
            </w:tcBorders>
          </w:tcPr>
          <w:p w14:paraId="653E24FF" w14:textId="77777777" w:rsidR="00FB0E88" w:rsidRPr="00C266B2" w:rsidRDefault="00FB0E88" w:rsidP="00E64386">
            <w:pPr>
              <w:pStyle w:val="p1"/>
              <w:contextualSpacing/>
              <w:rPr>
                <w:rFonts w:asciiTheme="majorHAnsi" w:hAnsiTheme="majorHAnsi" w:cstheme="majorHAnsi"/>
                <w:color w:val="auto"/>
                <w:sz w:val="22"/>
                <w:szCs w:val="22"/>
              </w:rPr>
            </w:pPr>
            <w:r w:rsidRPr="00C266B2">
              <w:rPr>
                <w:rFonts w:asciiTheme="majorHAnsi" w:hAnsiTheme="majorHAnsi" w:cstheme="majorHAnsi"/>
                <w:color w:val="auto"/>
                <w:sz w:val="22"/>
                <w:szCs w:val="22"/>
              </w:rPr>
              <w:t xml:space="preserve">David M. Van Buren (2009 to 2012) – Senior Vice President of Business Strategy, L-3 Communications Holdings Inc.; Chairman and Chief Executive Officer, Innovative Technical Solutions, Inc.; various leadership positions at Raytheon, Northrop Grumman and Lockheed Martin </w:t>
            </w:r>
          </w:p>
        </w:tc>
      </w:tr>
    </w:tbl>
    <w:p w14:paraId="4DE2918A" w14:textId="77777777" w:rsidR="00FB0E88" w:rsidRPr="00FA0438" w:rsidRDefault="00FB0E88" w:rsidP="00FB0E88">
      <w:pPr>
        <w:keepNext/>
        <w:keepLines/>
        <w:pBdr>
          <w:bottom w:val="single" w:sz="4" w:space="1" w:color="000000"/>
        </w:pBdr>
        <w:tabs>
          <w:tab w:val="left" w:pos="4016"/>
        </w:tabs>
        <w:spacing w:before="480" w:after="120"/>
        <w:outlineLvl w:val="0"/>
        <w:rPr>
          <w:rFonts w:ascii="Arial" w:eastAsia="Times New Roman" w:hAnsi="Arial"/>
          <w:b/>
          <w:bCs/>
          <w:caps/>
          <w:sz w:val="20"/>
          <w:szCs w:val="20"/>
        </w:rPr>
      </w:pPr>
      <w:r w:rsidRPr="00FA0438">
        <w:rPr>
          <w:rFonts w:ascii="Arial" w:eastAsia="Times New Roman" w:hAnsi="Arial"/>
          <w:b/>
          <w:bCs/>
          <w:caps/>
          <w:sz w:val="20"/>
          <w:szCs w:val="20"/>
        </w:rPr>
        <w:t>Endnotes</w:t>
      </w:r>
    </w:p>
    <w:p w14:paraId="52DF2DCD" w14:textId="6D153784" w:rsidR="00514128" w:rsidRPr="00C266B2" w:rsidRDefault="00FB0E88" w:rsidP="00FB0E88">
      <w:pPr>
        <w:rPr>
          <w:rFonts w:ascii="Calibri" w:hAnsi="Calibri"/>
        </w:rPr>
      </w:pPr>
      <w:r w:rsidRPr="00FA0438">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C266B2" w:rsidSect="00D307CE">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3A1D" w14:textId="77777777" w:rsidR="0054697A" w:rsidRDefault="0054697A" w:rsidP="001E22F1">
      <w:r>
        <w:separator/>
      </w:r>
    </w:p>
  </w:endnote>
  <w:endnote w:type="continuationSeparator" w:id="0">
    <w:p w14:paraId="20AF172A" w14:textId="77777777" w:rsidR="0054697A" w:rsidRDefault="0054697A" w:rsidP="001E22F1">
      <w:r>
        <w:continuationSeparator/>
      </w:r>
    </w:p>
  </w:endnote>
  <w:endnote w:id="1">
    <w:p w14:paraId="7983E898" w14:textId="1994CCCE" w:rsidR="008740A3" w:rsidRPr="008740A3" w:rsidRDefault="00FB0E88" w:rsidP="008740A3">
      <w:pPr>
        <w:pStyle w:val="EndnoteText"/>
      </w:pPr>
      <w:r>
        <w:rPr>
          <w:rStyle w:val="EndnoteReference"/>
        </w:rPr>
        <w:endnoteRef/>
      </w:r>
      <w:r w:rsidR="008740A3">
        <w:t xml:space="preserve"> </w:t>
      </w:r>
      <w:r w:rsidR="008740A3" w:rsidRPr="008740A3">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8740A3" w:rsidRPr="008740A3">
          <w:rPr>
            <w:rStyle w:val="Hyperlink"/>
          </w:rPr>
          <w:t>here</w:t>
        </w:r>
      </w:hyperlink>
      <w:r w:rsidR="008740A3" w:rsidRPr="008740A3">
        <w:t>. If you are selected for this position, please consult the agency’s HR representative for further guidance on compensation. </w:t>
      </w:r>
    </w:p>
    <w:p w14:paraId="1FEF567D" w14:textId="5FA73DF2" w:rsidR="00FB0E88" w:rsidRDefault="00FB0E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0280001" w:rsidR="00B64A22" w:rsidRPr="00D307CE" w:rsidRDefault="003D1E28" w:rsidP="00D307CE">
    <w:pPr>
      <w:pStyle w:val="TGAppendixBodyHeaders"/>
      <w:ind w:left="5760"/>
      <w:jc w:val="right"/>
      <w:rPr>
        <w:rFonts w:ascii="Arial" w:hAnsi="Arial" w:cs="Arial"/>
        <w:bCs/>
      </w:rPr>
    </w:pP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r>
    <w:r w:rsidRPr="00D307CE">
      <w:rPr>
        <w:rFonts w:ascii="Arial" w:hAnsi="Arial" w:cs="Arial"/>
        <w:bCs/>
      </w:rPr>
      <w:tab/>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A1E" w14:textId="4F57AEC8"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10B5" w14:textId="77777777" w:rsidR="0054697A" w:rsidRDefault="0054697A" w:rsidP="001E22F1">
      <w:r>
        <w:separator/>
      </w:r>
    </w:p>
  </w:footnote>
  <w:footnote w:type="continuationSeparator" w:id="0">
    <w:p w14:paraId="0FAE533C" w14:textId="77777777" w:rsidR="0054697A" w:rsidRDefault="0054697A"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B64A22" w:rsidRPr="00CA0F50" w:rsidRDefault="0054697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2E5C391E" w:rsidR="00B64A22" w:rsidRPr="00207063" w:rsidRDefault="003D1E28"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36B" w14:textId="5F4A892E" w:rsidR="00B64A22" w:rsidRPr="004960D6" w:rsidRDefault="003D1E28" w:rsidP="00D307CE">
    <w:pPr>
      <w:pStyle w:val="Header"/>
      <w:tabs>
        <w:tab w:val="clear" w:pos="9360"/>
        <w:tab w:val="right" w:pos="8820"/>
      </w:tabs>
      <w:ind w:hanging="360"/>
      <w:rPr>
        <w:rFonts w:ascii="Arial" w:hAnsi="Arial"/>
        <w:b/>
        <w:sz w:val="16"/>
        <w:szCs w:val="16"/>
      </w:rPr>
    </w:pPr>
    <w:r>
      <w:rPr>
        <w:rFonts w:ascii="Arial" w:hAnsi="Arial" w:cs="Arial"/>
        <w:noProof/>
      </w:rPr>
      <w:drawing>
        <wp:inline distT="0" distB="0" distL="0" distR="0" wp14:anchorId="497D8187" wp14:editId="4976CCED">
          <wp:extent cx="3627031" cy="411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5265" cy="42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4"/>
  </w:num>
  <w:num w:numId="42">
    <w:abstractNumId w:val="0"/>
  </w:num>
  <w:num w:numId="43">
    <w:abstractNumId w:val="27"/>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33F3"/>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1104C"/>
    <w:rsid w:val="00220C28"/>
    <w:rsid w:val="00220D75"/>
    <w:rsid w:val="0022173F"/>
    <w:rsid w:val="00221F98"/>
    <w:rsid w:val="00222732"/>
    <w:rsid w:val="00224E61"/>
    <w:rsid w:val="0023261D"/>
    <w:rsid w:val="002349E1"/>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1E28"/>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3ED2"/>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4697A"/>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0A3"/>
    <w:rsid w:val="008744A6"/>
    <w:rsid w:val="0087689B"/>
    <w:rsid w:val="008807E6"/>
    <w:rsid w:val="00883BC8"/>
    <w:rsid w:val="0089745E"/>
    <w:rsid w:val="00897ABC"/>
    <w:rsid w:val="008A05DD"/>
    <w:rsid w:val="008A7731"/>
    <w:rsid w:val="008B3E30"/>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90050"/>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A74"/>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266B2"/>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07CE"/>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7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19461391">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1483473173">
      <w:bodyDiv w:val="1"/>
      <w:marLeft w:val="0"/>
      <w:marRight w:val="0"/>
      <w:marTop w:val="0"/>
      <w:marBottom w:val="0"/>
      <w:divBdr>
        <w:top w:val="none" w:sz="0" w:space="0" w:color="auto"/>
        <w:left w:val="none" w:sz="0" w:space="0" w:color="auto"/>
        <w:bottom w:val="none" w:sz="0" w:space="0" w:color="auto"/>
        <w:right w:val="none" w:sz="0" w:space="0" w:color="auto"/>
      </w:divBdr>
    </w:div>
    <w:div w:id="205411379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B6A80"/>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13A57"/>
    <w:rsid w:val="00F4667B"/>
    <w:rsid w:val="00F55B49"/>
    <w:rsid w:val="00F80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30BACE-9DF7-4456-BFA1-EF98C6DF1EC2}">
  <ds:schemaRefs>
    <ds:schemaRef ds:uri="http://schemas.openxmlformats.org/officeDocument/2006/bibliography"/>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F55FE877-CFE9-4A24-B66F-56BCF67A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23816-8B46-4404-B97C-F42799AF71D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7</cp:revision>
  <cp:lastPrinted>2016-07-12T18:00:00Z</cp:lastPrinted>
  <dcterms:created xsi:type="dcterms:W3CDTF">2021-04-04T05:25:00Z</dcterms:created>
  <dcterms:modified xsi:type="dcterms:W3CDTF">2021-05-06T19:33:00Z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